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BE" w:rsidRDefault="00061A9C" w:rsidP="0032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61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gramStart"/>
      <w:r w:rsidRPr="00321661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Pr="00321661">
        <w:rPr>
          <w:rFonts w:ascii="Times New Roman" w:hAnsi="Times New Roman" w:cs="Times New Roman"/>
          <w:b/>
          <w:sz w:val="28"/>
          <w:szCs w:val="28"/>
        </w:rPr>
        <w:t xml:space="preserve"> НО «Фонд капитального ремонта МКД ВО» за три года с 2014-2016</w:t>
      </w:r>
    </w:p>
    <w:p w:rsidR="003B5AF8" w:rsidRPr="00321661" w:rsidRDefault="003B5AF8" w:rsidP="0032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F8" w:rsidRPr="003B5AF8" w:rsidRDefault="003B5AF8" w:rsidP="003B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Pr="003B5AF8">
        <w:rPr>
          <w:rFonts w:ascii="Times New Roman" w:hAnsi="Times New Roman" w:cs="Times New Roman"/>
          <w:sz w:val="28"/>
          <w:szCs w:val="28"/>
        </w:rPr>
        <w:t>назад, в сентябре 2013 года</w:t>
      </w:r>
      <w:r w:rsidR="00363536">
        <w:rPr>
          <w:rFonts w:ascii="Times New Roman" w:hAnsi="Times New Roman" w:cs="Times New Roman"/>
          <w:sz w:val="28"/>
          <w:szCs w:val="28"/>
        </w:rPr>
        <w:t>,</w:t>
      </w:r>
      <w:r w:rsidRPr="003B5AF8">
        <w:rPr>
          <w:rFonts w:ascii="Times New Roman" w:hAnsi="Times New Roman" w:cs="Times New Roman"/>
          <w:sz w:val="28"/>
          <w:szCs w:val="28"/>
        </w:rPr>
        <w:t xml:space="preserve"> в Вологодской области с регистрации некоммерческой организации «Фонд капитального ремонта многоквартирных домов Вологодской области» фактически стартовала инициированная государством новая система капитальных ремонтов. Прежняя, когда дома ремонтировались за государственный счет при поддержке </w:t>
      </w:r>
      <w:proofErr w:type="spellStart"/>
      <w:r w:rsidRPr="003B5AF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3B5AF8">
        <w:rPr>
          <w:rFonts w:ascii="Times New Roman" w:hAnsi="Times New Roman" w:cs="Times New Roman"/>
          <w:sz w:val="28"/>
          <w:szCs w:val="28"/>
        </w:rPr>
        <w:t xml:space="preserve"> «Фонд содействия реформированию ЖКХ» при небольшом </w:t>
      </w:r>
      <w:proofErr w:type="spellStart"/>
      <w:r w:rsidRPr="003B5AF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B5AF8">
        <w:rPr>
          <w:rFonts w:ascii="Times New Roman" w:hAnsi="Times New Roman" w:cs="Times New Roman"/>
          <w:sz w:val="28"/>
          <w:szCs w:val="28"/>
        </w:rPr>
        <w:t xml:space="preserve"> собственников жилья (5, затем 15%), не обеспечивала необходимые темпы обновления стремительно дряхлеющего жилого фонда российских городов. </w:t>
      </w:r>
    </w:p>
    <w:p w:rsidR="003B5AF8" w:rsidRPr="003B5AF8" w:rsidRDefault="003B5AF8" w:rsidP="003B5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AF8">
        <w:rPr>
          <w:rFonts w:ascii="Times New Roman" w:hAnsi="Times New Roman" w:cs="Times New Roman"/>
          <w:sz w:val="28"/>
          <w:szCs w:val="28"/>
        </w:rPr>
        <w:t>Необходим был новый подход, способный резко ускорить</w:t>
      </w:r>
      <w:r w:rsidR="00500F83">
        <w:rPr>
          <w:rFonts w:ascii="Times New Roman" w:hAnsi="Times New Roman" w:cs="Times New Roman"/>
          <w:sz w:val="28"/>
          <w:szCs w:val="28"/>
        </w:rPr>
        <w:t>,</w:t>
      </w:r>
      <w:r w:rsidRPr="003B5AF8">
        <w:rPr>
          <w:rFonts w:ascii="Times New Roman" w:hAnsi="Times New Roman" w:cs="Times New Roman"/>
          <w:sz w:val="28"/>
          <w:szCs w:val="28"/>
        </w:rPr>
        <w:t xml:space="preserve"> дать толчок развитию процесса капремонтов в стране и стимулировать инвестиционную активность собственников жилья, привыкших в большей степени надеяться на помощь государства. </w:t>
      </w:r>
    </w:p>
    <w:p w:rsidR="00321661" w:rsidRPr="00321661" w:rsidRDefault="003B5AF8" w:rsidP="00363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Некоммерческая организация Вологодской области «Фонд капитального ремонта многоквартирных домов Вологодской области» </w:t>
      </w:r>
      <w:r w:rsidR="00EA6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или 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Региональный оператор – юридическое лицо, созданное в орган</w:t>
      </w:r>
      <w:r w:rsidR="00363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изационно-правовой форме «фонд» 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 свою деятельность за счет средств областного бюджета, которые выделяются ему в виде имущественного взноса. Региональный оператор обеспечивает проведение капитального ремонта многоквартирного дома, собственники помещений в котором формируют фонд капитального ремонта у регионального оператора, в объеме и сроки, которые предусмотрены региональной программой капитального ремонта.</w:t>
      </w:r>
    </w:p>
    <w:p w:rsidR="00321661" w:rsidRDefault="00321661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Взносы обязаны уплачивать все собственники жилья в многоквартирном доме. Минимальный размер т</w:t>
      </w:r>
      <w:r w:rsidR="00EA6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акого взноса определен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Пра</w:t>
      </w:r>
      <w:r w:rsidR="00EA6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вительством Вологодской области и уже в течении трех лет не меняется,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утвержден единый на всей территории Вологодской области и составляет 6=60 руб. с одного квадратного метра принадлежащей собственнику площади помещения в многоквартирном доме.</w:t>
      </w:r>
    </w:p>
    <w:p w:rsidR="00321661" w:rsidRPr="00321661" w:rsidRDefault="00EA68AD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екабр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2013 года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была 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63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областная программа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капитального ремонта общего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имущества многоквартирных домов, которая является отправным документом для проведения всех организационных и подготовительных работ по проведению капитального ремонта общего имущества многоквартирных домов.</w:t>
      </w:r>
    </w:p>
    <w:p w:rsidR="00363536" w:rsidRPr="00321661" w:rsidRDefault="00363536" w:rsidP="00363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период становления новой системы капитального ремонта была п</w:t>
      </w:r>
      <w:r w:rsidRPr="00321661">
        <w:rPr>
          <w:rFonts w:ascii="Times New Roman" w:hAnsi="Times New Roman" w:cs="Times New Roman"/>
          <w:sz w:val="28"/>
          <w:szCs w:val="28"/>
        </w:rPr>
        <w:t>роведена работа по разработке и правовой экспертизе внутриорганизационных документов Фонда, необходимых локальных нормативных актов. Утверждены Положения о структурных подразделениях Фонда, должностные инструкции работников, внутренние нормативные документы.</w:t>
      </w:r>
    </w:p>
    <w:p w:rsidR="00363536" w:rsidRPr="00321661" w:rsidRDefault="00363536" w:rsidP="0036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661">
        <w:rPr>
          <w:rFonts w:ascii="Times New Roman" w:hAnsi="Times New Roman" w:cs="Times New Roman"/>
          <w:sz w:val="28"/>
          <w:szCs w:val="28"/>
        </w:rPr>
        <w:t xml:space="preserve">о инициативе Фонда проводятся заседания попечительского совета Фонда – органа внутреннего надзора. Председателем попечительского совета </w:t>
      </w:r>
      <w:r w:rsidRPr="00321661">
        <w:rPr>
          <w:rFonts w:ascii="Times New Roman" w:hAnsi="Times New Roman" w:cs="Times New Roman"/>
          <w:sz w:val="28"/>
          <w:szCs w:val="28"/>
        </w:rPr>
        <w:lastRenderedPageBreak/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321661">
        <w:rPr>
          <w:rFonts w:ascii="Times New Roman" w:hAnsi="Times New Roman" w:cs="Times New Roman"/>
          <w:sz w:val="28"/>
          <w:szCs w:val="28"/>
        </w:rPr>
        <w:t>является первый зам</w:t>
      </w:r>
      <w:r>
        <w:rPr>
          <w:rFonts w:ascii="Times New Roman" w:hAnsi="Times New Roman" w:cs="Times New Roman"/>
          <w:sz w:val="28"/>
          <w:szCs w:val="28"/>
        </w:rPr>
        <w:t>еститель Губернатора области А.Н</w:t>
      </w:r>
      <w:r w:rsidRPr="003216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Луценко</w:t>
      </w:r>
      <w:r w:rsidRPr="00321661">
        <w:rPr>
          <w:rFonts w:ascii="Times New Roman" w:hAnsi="Times New Roman" w:cs="Times New Roman"/>
          <w:sz w:val="28"/>
          <w:szCs w:val="28"/>
        </w:rPr>
        <w:t>.</w:t>
      </w:r>
    </w:p>
    <w:p w:rsidR="00363536" w:rsidRDefault="00363536" w:rsidP="0036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61">
        <w:rPr>
          <w:rFonts w:ascii="Times New Roman" w:hAnsi="Times New Roman" w:cs="Times New Roman"/>
          <w:sz w:val="28"/>
          <w:szCs w:val="28"/>
        </w:rPr>
        <w:t xml:space="preserve">Фонд активно участвует в заседаниях рабочей группы по осуществлению контроля за организацией проведения капитального ремонта общего имущества в многоквартирных домах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Вологодской области, </w:t>
      </w:r>
      <w:r w:rsidRPr="00321661">
        <w:rPr>
          <w:rFonts w:ascii="Times New Roman" w:hAnsi="Times New Roman" w:cs="Times New Roman"/>
          <w:sz w:val="28"/>
          <w:szCs w:val="28"/>
        </w:rPr>
        <w:t xml:space="preserve">в ходе которых обсуждались и были согласованы </w:t>
      </w:r>
      <w:r>
        <w:rPr>
          <w:rFonts w:ascii="Times New Roman" w:hAnsi="Times New Roman" w:cs="Times New Roman"/>
          <w:sz w:val="28"/>
          <w:szCs w:val="28"/>
        </w:rPr>
        <w:t>многие вопросы по организации работы Регионального оператора, внесены дополнения и изменения в нормативные правовые акты области.</w:t>
      </w:r>
    </w:p>
    <w:p w:rsidR="00363536" w:rsidRDefault="00363536" w:rsidP="0036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старался</w:t>
      </w:r>
      <w:r w:rsidRPr="003B5AF8">
        <w:rPr>
          <w:rFonts w:ascii="Times New Roman" w:hAnsi="Times New Roman" w:cs="Times New Roman"/>
          <w:sz w:val="28"/>
          <w:szCs w:val="28"/>
        </w:rPr>
        <w:t xml:space="preserve"> довести всю основную информацию до собственников, которые хотели разобраться в новой системе капитальных ремонтов. Пожалуй, сегодня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3B5AF8">
        <w:rPr>
          <w:rFonts w:ascii="Times New Roman" w:hAnsi="Times New Roman" w:cs="Times New Roman"/>
          <w:sz w:val="28"/>
          <w:szCs w:val="28"/>
        </w:rPr>
        <w:t xml:space="preserve"> уже практически не осталось людей, которые бы ничего не слышали о новой системе капитальных ремонтов. </w:t>
      </w:r>
    </w:p>
    <w:p w:rsidR="00363536" w:rsidRPr="00321661" w:rsidRDefault="00363536" w:rsidP="00363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период с ф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еврал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и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юль 2014 года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собственники домов должны были самостоятельно выб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ать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способ формирования фонда капитального ремонта общего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имущества многоквартирных домов (либо специальный счет, либо счет Регионального оператора</w:t>
      </w:r>
      <w:r w:rsidR="00A93E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21661" w:rsidRDefault="00EA68AD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случае, когда собственники самостоятельно не приняли решение о формировании фонда капитального ремонта</w:t>
      </w:r>
      <w:r w:rsidR="00A93E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а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вгуст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2014 год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органы местного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амоуправления области определяли</w:t>
      </w:r>
      <w:r w:rsidR="00321661"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способ формирования фонда капитального ремонта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таких домов на общий счет регионального оператора.</w:t>
      </w:r>
    </w:p>
    <w:p w:rsidR="00363536" w:rsidRDefault="00EA68AD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4C0A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состоянию на 1 октября 2014 года, т. е. к моменту возникновения обязанности по уплате взносов на капитальный ремонт общего имущества </w:t>
      </w:r>
      <w:r w:rsidR="00500C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областную программу капитального ремонта было включено 11 237 многоквартирных дома, из них - </w:t>
      </w:r>
      <w:r w:rsidRPr="00EA6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13% </w:t>
      </w:r>
      <w:r w:rsidR="00500C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или 1 471 многоквартирный дом</w:t>
      </w:r>
      <w:r w:rsidRPr="00EA6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выбрали способ накопления средств на специальных счетах и 87% </w:t>
      </w:r>
      <w:r w:rsidR="00500C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(9 766 МКД)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стали формировать фонд капитального ремонта на </w:t>
      </w:r>
      <w:r w:rsidRPr="00EA68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общем </w:t>
      </w:r>
      <w:r w:rsidR="00500C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счете Регионального оператора.</w:t>
      </w:r>
      <w:r w:rsidR="00F379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EA68AD" w:rsidRDefault="00F379A4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сегодняшний день </w:t>
      </w:r>
      <w:r w:rsidR="004C0A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(сентябрь 2016 года)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ситуация изменилась, в основном в связи с тем, что собственников заинтересовала система накопления средств и проведения ремонтов </w:t>
      </w:r>
      <w:r w:rsidR="003635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непосредственно по своему дому 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удобные для них сроки, а также в связи с разрешением выбирать владельцем специальных счетов управляющие организации. Таки</w:t>
      </w:r>
      <w:r w:rsidR="004C0A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образом на 1 сентября 2016 года ситуация сложилась следующим образом:</w:t>
      </w:r>
    </w:p>
    <w:p w:rsidR="00F379A4" w:rsidRDefault="00363536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F379A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областной программе капитального ремонта 10 942 МКД, из них формируют фонд капитального ремонта:</w:t>
      </w:r>
    </w:p>
    <w:p w:rsidR="00F379A4" w:rsidRDefault="00F379A4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4C0A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8 955 на общем счете регионального оператора;</w:t>
      </w:r>
    </w:p>
    <w:p w:rsidR="004C0A3B" w:rsidRDefault="004C0A3B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- 801 на специальном счете, владелец региональный оператор;</w:t>
      </w:r>
    </w:p>
    <w:p w:rsidR="004C0A3B" w:rsidRDefault="004C0A3B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- 781 на специальном счете, владелец ТСЖ (ЖСК);</w:t>
      </w:r>
    </w:p>
    <w:p w:rsidR="004C0A3B" w:rsidRDefault="004C0A3B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- 405 на специальном счете, владелец управляющая компания.</w:t>
      </w:r>
    </w:p>
    <w:p w:rsidR="004C0A3B" w:rsidRDefault="004C0A3B" w:rsidP="00EA6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Т.е. 81,8% МКД на общем счете и 18,2% МКД на специальном счете.</w:t>
      </w:r>
    </w:p>
    <w:p w:rsidR="00157742" w:rsidRDefault="003B5AF8" w:rsidP="0015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AF8">
        <w:rPr>
          <w:rFonts w:ascii="Times New Roman" w:hAnsi="Times New Roman" w:cs="Times New Roman"/>
          <w:sz w:val="28"/>
          <w:szCs w:val="28"/>
        </w:rPr>
        <w:t xml:space="preserve">За </w:t>
      </w:r>
      <w:r w:rsidR="00157742">
        <w:rPr>
          <w:rFonts w:ascii="Times New Roman" w:hAnsi="Times New Roman" w:cs="Times New Roman"/>
          <w:sz w:val="28"/>
          <w:szCs w:val="28"/>
        </w:rPr>
        <w:t xml:space="preserve">первые три года </w:t>
      </w:r>
      <w:proofErr w:type="gramStart"/>
      <w:r w:rsidR="001577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157742">
        <w:rPr>
          <w:rFonts w:ascii="Times New Roman" w:hAnsi="Times New Roman" w:cs="Times New Roman"/>
          <w:sz w:val="28"/>
          <w:szCs w:val="28"/>
        </w:rPr>
        <w:t xml:space="preserve"> НО «Фонд капитального ремонта МКД ВО»</w:t>
      </w:r>
      <w:r w:rsidRPr="003B5AF8">
        <w:rPr>
          <w:rFonts w:ascii="Times New Roman" w:hAnsi="Times New Roman" w:cs="Times New Roman"/>
          <w:sz w:val="28"/>
          <w:szCs w:val="28"/>
        </w:rPr>
        <w:t xml:space="preserve"> в сотрудничестве с региональной и муниципальными властями удалось </w:t>
      </w:r>
      <w:r w:rsidR="00157742">
        <w:rPr>
          <w:rFonts w:ascii="Times New Roman" w:hAnsi="Times New Roman" w:cs="Times New Roman"/>
          <w:sz w:val="28"/>
          <w:szCs w:val="28"/>
        </w:rPr>
        <w:t xml:space="preserve">встать на </w:t>
      </w:r>
      <w:r w:rsidRPr="003B5AF8">
        <w:rPr>
          <w:rFonts w:ascii="Times New Roman" w:hAnsi="Times New Roman" w:cs="Times New Roman"/>
          <w:sz w:val="28"/>
          <w:szCs w:val="28"/>
        </w:rPr>
        <w:t>пут</w:t>
      </w:r>
      <w:r w:rsidR="00157742">
        <w:rPr>
          <w:rFonts w:ascii="Times New Roman" w:hAnsi="Times New Roman" w:cs="Times New Roman"/>
          <w:sz w:val="28"/>
          <w:szCs w:val="28"/>
        </w:rPr>
        <w:t>ь обновления многоквартирного жилого фонда области.</w:t>
      </w:r>
    </w:p>
    <w:p w:rsidR="00E95423" w:rsidRDefault="00E95423" w:rsidP="0015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6 сентября 2016 года было проведено ремонтов общего имущества на 319 многоквартирных домах</w:t>
      </w:r>
      <w:r w:rsidR="0031447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379A4">
        <w:rPr>
          <w:rFonts w:ascii="Times New Roman" w:hAnsi="Times New Roman" w:cs="Times New Roman"/>
          <w:sz w:val="28"/>
          <w:szCs w:val="28"/>
        </w:rPr>
        <w:t xml:space="preserve">отремонтировано в 2015 году - </w:t>
      </w:r>
      <w:r>
        <w:rPr>
          <w:rFonts w:ascii="Times New Roman" w:hAnsi="Times New Roman" w:cs="Times New Roman"/>
          <w:sz w:val="28"/>
          <w:szCs w:val="28"/>
        </w:rPr>
        <w:t>219 дома и уже на 100 домах ремонт выполнен в 2016 году.</w:t>
      </w:r>
    </w:p>
    <w:p w:rsidR="00F379A4" w:rsidRDefault="00F379A4" w:rsidP="0015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большинстве </w:t>
      </w:r>
      <w:r w:rsidR="00500F83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выполняется не комплексно (т.е. захватывает </w:t>
      </w:r>
      <w:r w:rsidR="004C0A3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все конструктивные элементы дома), а только по отдельным конструктивным элементам.</w:t>
      </w:r>
      <w:r w:rsidR="004C0A3B">
        <w:rPr>
          <w:rFonts w:ascii="Times New Roman" w:hAnsi="Times New Roman" w:cs="Times New Roman"/>
          <w:sz w:val="28"/>
          <w:szCs w:val="28"/>
        </w:rPr>
        <w:t xml:space="preserve"> Это связано в основном с высокой стоимостью проводимого ремонта и конечно же зависит от собираемости взносов на капитальный ремонт</w:t>
      </w:r>
      <w:r w:rsidR="00500F83">
        <w:rPr>
          <w:rFonts w:ascii="Times New Roman" w:hAnsi="Times New Roman" w:cs="Times New Roman"/>
          <w:sz w:val="28"/>
          <w:szCs w:val="28"/>
        </w:rPr>
        <w:t>, а также от нормативных сроков межремонтной эксплуатации.</w:t>
      </w:r>
    </w:p>
    <w:p w:rsidR="00363536" w:rsidRPr="00321661" w:rsidRDefault="00363536" w:rsidP="00363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Начиная с октября 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собственники стали получать</w:t>
      </w:r>
      <w:r w:rsidR="00A93E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квитанции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уплат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обязательных взносов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капитальному ремонту общего имущества</w:t>
      </w:r>
      <w:r w:rsidRPr="00321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C0A3B" w:rsidRDefault="004C0A3B" w:rsidP="0015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сентябрю 2016 года собираемость взносов на территории области составляет 81,5%. </w:t>
      </w:r>
      <w:r w:rsidR="00057FA4">
        <w:rPr>
          <w:rFonts w:ascii="Times New Roman" w:hAnsi="Times New Roman" w:cs="Times New Roman"/>
          <w:sz w:val="28"/>
          <w:szCs w:val="28"/>
        </w:rPr>
        <w:t>Хотя год назад, в сентябре 2015 года, собираемость составляла 61,74%.</w:t>
      </w:r>
    </w:p>
    <w:p w:rsidR="00F379A4" w:rsidRPr="00F379A4" w:rsidRDefault="00F379A4" w:rsidP="00F379A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9A4">
        <w:rPr>
          <w:rFonts w:ascii="Times New Roman" w:eastAsia="Calibri" w:hAnsi="Times New Roman" w:cs="Times New Roman"/>
          <w:sz w:val="28"/>
          <w:szCs w:val="28"/>
        </w:rPr>
        <w:t xml:space="preserve">Региональным оператором организована работа по взысканию задолженности </w:t>
      </w:r>
      <w:r w:rsidRPr="00F379A4">
        <w:rPr>
          <w:rFonts w:ascii="Times New Roman" w:eastAsia="Calibri" w:hAnsi="Times New Roman" w:cs="Times New Roman"/>
          <w:bCs/>
          <w:sz w:val="28"/>
          <w:szCs w:val="28"/>
        </w:rPr>
        <w:t xml:space="preserve">по оплате взносов на капитальный ремонт общего имущества в многоквартирных домах в судебном </w:t>
      </w:r>
      <w:r w:rsidRPr="00F379A4">
        <w:rPr>
          <w:rFonts w:ascii="Times New Roman" w:eastAsia="Calibri" w:hAnsi="Times New Roman" w:cs="Times New Roman"/>
          <w:sz w:val="28"/>
          <w:szCs w:val="28"/>
        </w:rPr>
        <w:t xml:space="preserve">(путем вынесения судебных приказов, решений) и досудебном порядке (путем направления письменных претензий собственникам, не выполняющим обязанность по уплате взносов на капитальный ремонт, о необходимости оплатить образовавшуюся задолженность в добровольном порядке). </w:t>
      </w:r>
    </w:p>
    <w:p w:rsidR="00F379A4" w:rsidRPr="00F379A4" w:rsidRDefault="00F379A4" w:rsidP="00F379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первого полугодия 2016 года от имени Некоммерческой организации Вологодской области "Фонд капитального ремонта многоквартирных домов Вологодской области" было подано свыше 2 661 исковых заявлений и заявлений на вынесение судебных приказов, в адрес должников было направлено свыше 14 889 претензий, подготовлено более </w:t>
      </w:r>
      <w:r w:rsidR="005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79A4">
        <w:rPr>
          <w:rFonts w:ascii="Times New Roman" w:eastAsia="Times New Roman" w:hAnsi="Times New Roman" w:cs="Times New Roman"/>
          <w:sz w:val="28"/>
          <w:szCs w:val="28"/>
          <w:lang w:eastAsia="ru-RU"/>
        </w:rPr>
        <w:t>6 000 иных процессуальных документов (ходатайств).</w:t>
      </w:r>
    </w:p>
    <w:p w:rsidR="00F379A4" w:rsidRPr="00F379A4" w:rsidRDefault="00F379A4" w:rsidP="00F379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оператором рассмотрено 25 комплектов документов для </w:t>
      </w:r>
      <w:r w:rsidRPr="00F379A4">
        <w:rPr>
          <w:rFonts w:ascii="Times New Roman" w:hAnsi="Times New Roman" w:cs="Times New Roman"/>
          <w:sz w:val="28"/>
          <w:szCs w:val="28"/>
        </w:rPr>
        <w:t>перечисления со специального счета денежных средств в адрес лиц, оказывающих услуги и (или) выполняющих работы по капитальному ремонту общего имущества в многоквартирных домах.</w:t>
      </w:r>
    </w:p>
    <w:p w:rsidR="00F379A4" w:rsidRPr="00F379A4" w:rsidRDefault="00F379A4" w:rsidP="00F379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79A4">
        <w:rPr>
          <w:rFonts w:ascii="Times New Roman" w:hAnsi="Times New Roman" w:cs="Times New Roman"/>
          <w:sz w:val="28"/>
          <w:szCs w:val="28"/>
        </w:rPr>
        <w:t>Ведется работа по согласованию и принятию решений о зачете денежных средств, потраченных собственниками помещений в многоквартирном доме на выполнение работ по капитальному ремонту общего имущества в данном многоквартирном доме, если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требуется.</w:t>
      </w:r>
    </w:p>
    <w:p w:rsidR="00F379A4" w:rsidRPr="00F379A4" w:rsidRDefault="00F379A4" w:rsidP="00F379A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оператором было рассмотрено 32 пакета документов для зачета денежных средств, в том числе по 6 приняты решения о зачете денежных средств, 26 возвращены на доработку. </w:t>
      </w:r>
    </w:p>
    <w:p w:rsidR="00F379A4" w:rsidRPr="00756152" w:rsidRDefault="00F379A4" w:rsidP="00F379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первого полугодия 2016 года Вологодская область занимает 14 место среди субъектов Российской Федерации по реализации областной программы капитального ремонта общего имущества многоквартирных домов </w:t>
      </w:r>
      <w:r w:rsidRPr="007561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показателем 84,39%. Лидирующе</w:t>
      </w:r>
      <w:r w:rsidR="00A93EA7">
        <w:rPr>
          <w:rFonts w:ascii="Times New Roman" w:eastAsia="Calibri" w:hAnsi="Times New Roman" w:cs="Times New Roman"/>
          <w:sz w:val="28"/>
          <w:szCs w:val="28"/>
          <w:lang w:eastAsia="ru-RU"/>
        </w:rPr>
        <w:t>е место в этом списке занимает Р</w:t>
      </w:r>
      <w:bookmarkStart w:id="0" w:name="_GoBack"/>
      <w:bookmarkEnd w:id="0"/>
      <w:r w:rsidRPr="00756152">
        <w:rPr>
          <w:rFonts w:ascii="Times New Roman" w:eastAsia="Calibri" w:hAnsi="Times New Roman" w:cs="Times New Roman"/>
          <w:sz w:val="28"/>
          <w:szCs w:val="28"/>
          <w:lang w:eastAsia="ru-RU"/>
        </w:rPr>
        <w:t>еспублика Башкортостан.</w:t>
      </w:r>
    </w:p>
    <w:p w:rsidR="00F379A4" w:rsidRPr="00756152" w:rsidRDefault="00F379A4" w:rsidP="00F37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Северо-Западному Федеральному округу Вологодская область на </w:t>
      </w:r>
      <w:r w:rsidR="00057FA4">
        <w:rPr>
          <w:rFonts w:ascii="Times New Roman" w:eastAsia="Calibri" w:hAnsi="Times New Roman" w:cs="Times New Roman"/>
          <w:sz w:val="28"/>
          <w:szCs w:val="28"/>
          <w:lang w:eastAsia="ru-RU"/>
        </w:rPr>
        <w:t>1-м месте на июль 2016 года.</w:t>
      </w:r>
    </w:p>
    <w:p w:rsidR="00F379A4" w:rsidRPr="00756152" w:rsidRDefault="00F379A4" w:rsidP="00F379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6"/>
        <w:gridCol w:w="4995"/>
        <w:gridCol w:w="3104"/>
      </w:tblGrid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Субъект</w:t>
            </w:r>
          </w:p>
        </w:tc>
        <w:tc>
          <w:tcPr>
            <w:tcW w:w="3175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Место в рейтинге 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Вологодская область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14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г. Санкт-Петербург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23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Ленинградская область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35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03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Новгородская область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36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Псковская область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40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03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Архангельская область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45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Мурманская область</w:t>
            </w:r>
          </w:p>
        </w:tc>
        <w:tc>
          <w:tcPr>
            <w:tcW w:w="3175" w:type="dxa"/>
          </w:tcPr>
          <w:p w:rsidR="00057FA4" w:rsidRPr="00756152" w:rsidRDefault="00057FA4" w:rsidP="00057FA4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50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Ненецкий АО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58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103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Калининградская область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64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103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Республика Карелия</w:t>
            </w:r>
          </w:p>
        </w:tc>
        <w:tc>
          <w:tcPr>
            <w:tcW w:w="3175" w:type="dxa"/>
          </w:tcPr>
          <w:p w:rsidR="00F379A4" w:rsidRPr="00756152" w:rsidRDefault="00057F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77</w:t>
            </w:r>
          </w:p>
        </w:tc>
      </w:tr>
      <w:tr w:rsidR="00F379A4" w:rsidRPr="00756152" w:rsidTr="002F538A">
        <w:tc>
          <w:tcPr>
            <w:tcW w:w="1271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103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Республика Коми</w:t>
            </w:r>
          </w:p>
        </w:tc>
        <w:tc>
          <w:tcPr>
            <w:tcW w:w="3175" w:type="dxa"/>
          </w:tcPr>
          <w:p w:rsidR="00F379A4" w:rsidRPr="00756152" w:rsidRDefault="00F379A4" w:rsidP="002F538A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56152">
              <w:rPr>
                <w:rFonts w:ascii="Times New Roman" w:hAnsi="Times New Roman"/>
                <w:sz w:val="32"/>
                <w:szCs w:val="32"/>
                <w:lang w:eastAsia="ru-RU"/>
              </w:rPr>
              <w:t>82</w:t>
            </w:r>
          </w:p>
        </w:tc>
      </w:tr>
    </w:tbl>
    <w:p w:rsidR="00F379A4" w:rsidRDefault="00F379A4" w:rsidP="00F37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423" w:rsidRDefault="00E95423" w:rsidP="0015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F22"/>
    <w:multiLevelType w:val="hybridMultilevel"/>
    <w:tmpl w:val="D7DA78C6"/>
    <w:lvl w:ilvl="0" w:tplc="2A0ED91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01E0"/>
    <w:multiLevelType w:val="multilevel"/>
    <w:tmpl w:val="451A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84337"/>
    <w:multiLevelType w:val="multilevel"/>
    <w:tmpl w:val="C526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057FA4"/>
    <w:rsid w:val="00061A9C"/>
    <w:rsid w:val="001357BE"/>
    <w:rsid w:val="00157742"/>
    <w:rsid w:val="002503DB"/>
    <w:rsid w:val="00314479"/>
    <w:rsid w:val="00321661"/>
    <w:rsid w:val="00363536"/>
    <w:rsid w:val="003B5AF8"/>
    <w:rsid w:val="004C0A3B"/>
    <w:rsid w:val="00500C56"/>
    <w:rsid w:val="00500F83"/>
    <w:rsid w:val="007E7112"/>
    <w:rsid w:val="00A93EA7"/>
    <w:rsid w:val="00E2077A"/>
    <w:rsid w:val="00E95423"/>
    <w:rsid w:val="00EA68AD"/>
    <w:rsid w:val="00F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655"/>
  <w15:chartTrackingRefBased/>
  <w15:docId w15:val="{0C1AA3CC-85D7-465C-8202-4C6D6E5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61"/>
    <w:pPr>
      <w:ind w:left="720"/>
      <w:contextualSpacing/>
    </w:pPr>
  </w:style>
  <w:style w:type="table" w:styleId="a4">
    <w:name w:val="Table Grid"/>
    <w:basedOn w:val="a1"/>
    <w:uiPriority w:val="39"/>
    <w:rsid w:val="00F379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7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Рубцова Ирина</cp:lastModifiedBy>
  <cp:revision>7</cp:revision>
  <cp:lastPrinted>2016-09-05T10:42:00Z</cp:lastPrinted>
  <dcterms:created xsi:type="dcterms:W3CDTF">2016-09-05T05:34:00Z</dcterms:created>
  <dcterms:modified xsi:type="dcterms:W3CDTF">2016-09-06T08:10:00Z</dcterms:modified>
</cp:coreProperties>
</file>